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2747" w14:textId="2F7431EC" w:rsidR="006B31CC" w:rsidRPr="006B31CC" w:rsidRDefault="006B31CC" w:rsidP="006B31CC">
      <w:pPr>
        <w:jc w:val="center"/>
        <w:rPr>
          <w:b/>
          <w:bCs/>
        </w:rPr>
      </w:pPr>
      <w:r w:rsidRPr="006B31CC">
        <w:rPr>
          <w:b/>
          <w:bCs/>
        </w:rPr>
        <w:t>DANH MỤC ĐỀ TÀI CẤP TỈNH 2024</w:t>
      </w:r>
    </w:p>
    <w:p w14:paraId="17AC052D" w14:textId="77777777" w:rsidR="006B31CC" w:rsidRDefault="006B31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542"/>
        <w:gridCol w:w="775"/>
        <w:gridCol w:w="2711"/>
        <w:gridCol w:w="1058"/>
        <w:gridCol w:w="786"/>
        <w:gridCol w:w="785"/>
        <w:gridCol w:w="817"/>
        <w:gridCol w:w="1019"/>
        <w:gridCol w:w="594"/>
        <w:gridCol w:w="671"/>
        <w:gridCol w:w="817"/>
        <w:gridCol w:w="1122"/>
      </w:tblGrid>
      <w:tr w:rsidR="006B31CC" w:rsidRPr="006B31CC" w14:paraId="06D44555" w14:textId="77777777" w:rsidTr="006B31CC">
        <w:trPr>
          <w:trHeight w:val="792"/>
        </w:trPr>
        <w:tc>
          <w:tcPr>
            <w:tcW w:w="203" w:type="pct"/>
            <w:shd w:val="clear" w:color="auto" w:fill="auto"/>
            <w:vAlign w:val="center"/>
            <w:hideMark/>
          </w:tcPr>
          <w:p w14:paraId="5840FB75"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TT</w:t>
            </w:r>
          </w:p>
        </w:tc>
        <w:tc>
          <w:tcPr>
            <w:tcW w:w="890" w:type="pct"/>
            <w:shd w:val="clear" w:color="auto" w:fill="auto"/>
            <w:vAlign w:val="center"/>
            <w:hideMark/>
          </w:tcPr>
          <w:p w14:paraId="4FFBA4D3"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Tên đề tài, Mã số</w:t>
            </w:r>
          </w:p>
        </w:tc>
        <w:tc>
          <w:tcPr>
            <w:tcW w:w="271" w:type="pct"/>
            <w:shd w:val="clear" w:color="auto" w:fill="auto"/>
            <w:vAlign w:val="center"/>
            <w:hideMark/>
          </w:tcPr>
          <w:p w14:paraId="03EF0D05"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Đơn vị</w:t>
            </w:r>
          </w:p>
        </w:tc>
        <w:tc>
          <w:tcPr>
            <w:tcW w:w="949" w:type="pct"/>
            <w:shd w:val="clear" w:color="auto" w:fill="auto"/>
            <w:vAlign w:val="center"/>
            <w:hideMark/>
          </w:tcPr>
          <w:p w14:paraId="04D32E8B"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CB chủ trì</w:t>
            </w:r>
          </w:p>
        </w:tc>
        <w:tc>
          <w:tcPr>
            <w:tcW w:w="370" w:type="pct"/>
            <w:shd w:val="clear" w:color="auto" w:fill="auto"/>
            <w:vAlign w:val="center"/>
            <w:hideMark/>
          </w:tcPr>
          <w:p w14:paraId="34AD470A"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Địa phương</w:t>
            </w:r>
          </w:p>
        </w:tc>
        <w:tc>
          <w:tcPr>
            <w:tcW w:w="275" w:type="pct"/>
            <w:shd w:val="clear" w:color="auto" w:fill="auto"/>
            <w:vAlign w:val="center"/>
            <w:hideMark/>
          </w:tcPr>
          <w:p w14:paraId="768B1B7A"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Năm bắt đầu</w:t>
            </w:r>
          </w:p>
        </w:tc>
        <w:tc>
          <w:tcPr>
            <w:tcW w:w="275" w:type="pct"/>
            <w:shd w:val="clear" w:color="auto" w:fill="auto"/>
            <w:vAlign w:val="center"/>
            <w:hideMark/>
          </w:tcPr>
          <w:p w14:paraId="51AA1726"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Năm kết thúc</w:t>
            </w:r>
          </w:p>
        </w:tc>
        <w:tc>
          <w:tcPr>
            <w:tcW w:w="286" w:type="pct"/>
            <w:shd w:val="clear" w:color="auto" w:fill="auto"/>
            <w:vAlign w:val="center"/>
            <w:hideMark/>
          </w:tcPr>
          <w:p w14:paraId="0546E227"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Kinh phí (tr.đ)</w:t>
            </w:r>
          </w:p>
        </w:tc>
        <w:tc>
          <w:tcPr>
            <w:tcW w:w="357" w:type="pct"/>
            <w:shd w:val="clear" w:color="auto" w:fill="auto"/>
            <w:vAlign w:val="center"/>
            <w:hideMark/>
          </w:tcPr>
          <w:p w14:paraId="0B5EA160"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Năm nghiệm thu</w:t>
            </w:r>
          </w:p>
        </w:tc>
        <w:tc>
          <w:tcPr>
            <w:tcW w:w="208" w:type="pct"/>
            <w:shd w:val="clear" w:color="auto" w:fill="auto"/>
            <w:vAlign w:val="center"/>
            <w:hideMark/>
          </w:tcPr>
          <w:p w14:paraId="4861A3FC"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NT cơ sở</w:t>
            </w:r>
          </w:p>
        </w:tc>
        <w:tc>
          <w:tcPr>
            <w:tcW w:w="235" w:type="pct"/>
            <w:shd w:val="clear" w:color="auto" w:fill="auto"/>
            <w:vAlign w:val="center"/>
            <w:hideMark/>
          </w:tcPr>
          <w:p w14:paraId="64DCD8A8"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NT cấp tỉnh</w:t>
            </w:r>
          </w:p>
        </w:tc>
        <w:tc>
          <w:tcPr>
            <w:tcW w:w="286" w:type="pct"/>
            <w:shd w:val="clear" w:color="auto" w:fill="auto"/>
            <w:vAlign w:val="center"/>
            <w:hideMark/>
          </w:tcPr>
          <w:p w14:paraId="07708445"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Tình trạng</w:t>
            </w:r>
          </w:p>
        </w:tc>
        <w:tc>
          <w:tcPr>
            <w:tcW w:w="393" w:type="pct"/>
            <w:shd w:val="clear" w:color="auto" w:fill="auto"/>
            <w:vAlign w:val="center"/>
            <w:hideMark/>
          </w:tcPr>
          <w:p w14:paraId="028EF960" w14:textId="77777777" w:rsidR="006B31CC" w:rsidRPr="006B31CC" w:rsidRDefault="006B31CC" w:rsidP="006B31CC">
            <w:pPr>
              <w:spacing w:before="0"/>
              <w:jc w:val="center"/>
              <w:rPr>
                <w:rFonts w:eastAsia="Times New Roman" w:cs="Times New Roman"/>
                <w:b/>
                <w:bCs/>
                <w:sz w:val="20"/>
                <w:szCs w:val="20"/>
              </w:rPr>
            </w:pPr>
            <w:r w:rsidRPr="006B31CC">
              <w:rPr>
                <w:rFonts w:eastAsia="Times New Roman" w:cs="Times New Roman"/>
                <w:b/>
                <w:bCs/>
                <w:sz w:val="20"/>
                <w:szCs w:val="20"/>
              </w:rPr>
              <w:t>Thời gian cụ thể, Gia hạn</w:t>
            </w:r>
          </w:p>
        </w:tc>
      </w:tr>
      <w:tr w:rsidR="006B31CC" w:rsidRPr="006B31CC" w14:paraId="0C90AFC8" w14:textId="77777777" w:rsidTr="006B31CC">
        <w:trPr>
          <w:trHeight w:val="1104"/>
        </w:trPr>
        <w:tc>
          <w:tcPr>
            <w:tcW w:w="203" w:type="pct"/>
            <w:shd w:val="clear" w:color="auto" w:fill="auto"/>
            <w:hideMark/>
          </w:tcPr>
          <w:p w14:paraId="18747704" w14:textId="77777777" w:rsidR="006B31CC" w:rsidRPr="006B31CC" w:rsidRDefault="006B31CC" w:rsidP="006B31CC">
            <w:pPr>
              <w:pStyle w:val="ListParagraph"/>
              <w:numPr>
                <w:ilvl w:val="0"/>
                <w:numId w:val="1"/>
              </w:numPr>
              <w:spacing w:before="0"/>
              <w:ind w:left="470" w:hanging="357"/>
              <w:jc w:val="center"/>
              <w:rPr>
                <w:rFonts w:eastAsia="Times New Roman" w:cs="Times New Roman"/>
                <w:b/>
                <w:bCs/>
                <w:sz w:val="20"/>
                <w:szCs w:val="20"/>
              </w:rPr>
            </w:pPr>
          </w:p>
        </w:tc>
        <w:tc>
          <w:tcPr>
            <w:tcW w:w="890" w:type="pct"/>
            <w:shd w:val="clear" w:color="auto" w:fill="auto"/>
            <w:hideMark/>
          </w:tcPr>
          <w:p w14:paraId="4706A394"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Ứng dụng công nghệ vi sinh và quy trình sản xuất nông nghiệp công nghệ cao trong xây dựng mô hình canh tác rau hữu cơ quy mô trang trại tại tỉnh Thừa Thiên Huế</w:t>
            </w:r>
          </w:p>
        </w:tc>
        <w:tc>
          <w:tcPr>
            <w:tcW w:w="271" w:type="pct"/>
            <w:shd w:val="clear" w:color="auto" w:fill="auto"/>
            <w:hideMark/>
          </w:tcPr>
          <w:p w14:paraId="64BE3769"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Sinh học</w:t>
            </w:r>
          </w:p>
        </w:tc>
        <w:tc>
          <w:tcPr>
            <w:tcW w:w="949" w:type="pct"/>
            <w:shd w:val="clear" w:color="auto" w:fill="auto"/>
            <w:noWrap/>
            <w:hideMark/>
          </w:tcPr>
          <w:p w14:paraId="70609E65"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Nguyễn Ngọc Lương</w:t>
            </w:r>
          </w:p>
        </w:tc>
        <w:tc>
          <w:tcPr>
            <w:tcW w:w="370" w:type="pct"/>
            <w:shd w:val="clear" w:color="auto" w:fill="auto"/>
            <w:hideMark/>
          </w:tcPr>
          <w:p w14:paraId="45A96E12"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TT Huế</w:t>
            </w:r>
          </w:p>
        </w:tc>
        <w:tc>
          <w:tcPr>
            <w:tcW w:w="275" w:type="pct"/>
            <w:shd w:val="clear" w:color="auto" w:fill="auto"/>
            <w:hideMark/>
          </w:tcPr>
          <w:p w14:paraId="0FF0793D" w14:textId="77777777" w:rsidR="006B31CC" w:rsidRPr="006B31CC" w:rsidRDefault="006B31CC" w:rsidP="006B31CC">
            <w:pPr>
              <w:spacing w:before="0"/>
              <w:jc w:val="right"/>
              <w:rPr>
                <w:rFonts w:eastAsia="Times New Roman" w:cs="Times New Roman"/>
                <w:sz w:val="22"/>
              </w:rPr>
            </w:pPr>
            <w:r w:rsidRPr="006B31CC">
              <w:rPr>
                <w:rFonts w:eastAsia="Times New Roman" w:cs="Times New Roman"/>
                <w:sz w:val="22"/>
              </w:rPr>
              <w:t>2024</w:t>
            </w:r>
          </w:p>
        </w:tc>
        <w:tc>
          <w:tcPr>
            <w:tcW w:w="275" w:type="pct"/>
            <w:shd w:val="clear" w:color="auto" w:fill="auto"/>
            <w:hideMark/>
          </w:tcPr>
          <w:p w14:paraId="1767E4B1" w14:textId="77777777" w:rsidR="006B31CC" w:rsidRPr="006B31CC" w:rsidRDefault="006B31CC" w:rsidP="006B31CC">
            <w:pPr>
              <w:spacing w:before="0"/>
              <w:jc w:val="right"/>
              <w:rPr>
                <w:rFonts w:eastAsia="Times New Roman" w:cs="Times New Roman"/>
                <w:sz w:val="22"/>
              </w:rPr>
            </w:pPr>
            <w:r w:rsidRPr="006B31CC">
              <w:rPr>
                <w:rFonts w:eastAsia="Times New Roman" w:cs="Times New Roman"/>
                <w:sz w:val="22"/>
              </w:rPr>
              <w:t>2026</w:t>
            </w:r>
          </w:p>
        </w:tc>
        <w:tc>
          <w:tcPr>
            <w:tcW w:w="286" w:type="pct"/>
            <w:shd w:val="clear" w:color="auto" w:fill="auto"/>
            <w:hideMark/>
          </w:tcPr>
          <w:p w14:paraId="07BD1160" w14:textId="77777777" w:rsidR="006B31CC" w:rsidRPr="006B31CC" w:rsidRDefault="006B31CC" w:rsidP="006B31CC">
            <w:pPr>
              <w:spacing w:before="0"/>
              <w:jc w:val="right"/>
              <w:rPr>
                <w:rFonts w:eastAsia="Times New Roman" w:cs="Times New Roman"/>
                <w:sz w:val="22"/>
              </w:rPr>
            </w:pPr>
            <w:r w:rsidRPr="006B31CC">
              <w:rPr>
                <w:rFonts w:eastAsia="Times New Roman" w:cs="Times New Roman"/>
                <w:sz w:val="22"/>
              </w:rPr>
              <w:t>2100</w:t>
            </w:r>
          </w:p>
        </w:tc>
        <w:tc>
          <w:tcPr>
            <w:tcW w:w="357" w:type="pct"/>
            <w:shd w:val="clear" w:color="auto" w:fill="auto"/>
            <w:hideMark/>
          </w:tcPr>
          <w:p w14:paraId="7B5056C1"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 </w:t>
            </w:r>
          </w:p>
        </w:tc>
        <w:tc>
          <w:tcPr>
            <w:tcW w:w="208" w:type="pct"/>
            <w:shd w:val="clear" w:color="auto" w:fill="auto"/>
            <w:hideMark/>
          </w:tcPr>
          <w:p w14:paraId="541D23DF"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 </w:t>
            </w:r>
          </w:p>
        </w:tc>
        <w:tc>
          <w:tcPr>
            <w:tcW w:w="235" w:type="pct"/>
            <w:shd w:val="clear" w:color="auto" w:fill="auto"/>
            <w:hideMark/>
          </w:tcPr>
          <w:p w14:paraId="7CF6024B"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 </w:t>
            </w:r>
          </w:p>
        </w:tc>
        <w:tc>
          <w:tcPr>
            <w:tcW w:w="286" w:type="pct"/>
            <w:shd w:val="clear" w:color="auto" w:fill="auto"/>
            <w:hideMark/>
          </w:tcPr>
          <w:p w14:paraId="04C2E0C0"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 </w:t>
            </w:r>
          </w:p>
        </w:tc>
        <w:tc>
          <w:tcPr>
            <w:tcW w:w="393" w:type="pct"/>
            <w:shd w:val="clear" w:color="auto" w:fill="auto"/>
            <w:hideMark/>
          </w:tcPr>
          <w:p w14:paraId="4334CFA3"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4/2024</w:t>
            </w:r>
          </w:p>
        </w:tc>
      </w:tr>
      <w:tr w:rsidR="006B31CC" w:rsidRPr="006B31CC" w14:paraId="4FD58134" w14:textId="77777777" w:rsidTr="006B31CC">
        <w:trPr>
          <w:trHeight w:val="1656"/>
        </w:trPr>
        <w:tc>
          <w:tcPr>
            <w:tcW w:w="203" w:type="pct"/>
            <w:shd w:val="clear" w:color="auto" w:fill="auto"/>
            <w:hideMark/>
          </w:tcPr>
          <w:p w14:paraId="418CFBE7" w14:textId="77777777" w:rsidR="006B31CC" w:rsidRPr="006B31CC" w:rsidRDefault="006B31CC" w:rsidP="006B31CC">
            <w:pPr>
              <w:pStyle w:val="ListParagraph"/>
              <w:numPr>
                <w:ilvl w:val="0"/>
                <w:numId w:val="1"/>
              </w:numPr>
              <w:spacing w:before="0"/>
              <w:ind w:left="470" w:hanging="357"/>
              <w:jc w:val="left"/>
              <w:rPr>
                <w:rFonts w:eastAsia="Times New Roman" w:cs="Times New Roman"/>
                <w:b/>
                <w:bCs/>
                <w:sz w:val="22"/>
              </w:rPr>
            </w:pPr>
          </w:p>
        </w:tc>
        <w:tc>
          <w:tcPr>
            <w:tcW w:w="890" w:type="pct"/>
            <w:shd w:val="clear" w:color="auto" w:fill="auto"/>
            <w:hideMark/>
          </w:tcPr>
          <w:p w14:paraId="58A8ABB3"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Nghiên cứu, đánh giá diễn biến, dự báo trữ lượng cát bồi lắng hằng năm và đề xuất các giải pháp nâng cao hiệu quả hoạt động quản lý nhà nước đối với công tác cấp phép khai thác cát trên hệ thống sông Gianh và sông Nhật Lệ</w:t>
            </w:r>
          </w:p>
        </w:tc>
        <w:tc>
          <w:tcPr>
            <w:tcW w:w="271" w:type="pct"/>
            <w:shd w:val="clear" w:color="auto" w:fill="auto"/>
            <w:hideMark/>
          </w:tcPr>
          <w:p w14:paraId="59CFE99D"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ĐL-ĐC</w:t>
            </w:r>
          </w:p>
        </w:tc>
        <w:tc>
          <w:tcPr>
            <w:tcW w:w="949" w:type="pct"/>
            <w:shd w:val="clear" w:color="auto" w:fill="auto"/>
            <w:noWrap/>
            <w:hideMark/>
          </w:tcPr>
          <w:p w14:paraId="184201FB"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Nguyễn Văn Canh</w:t>
            </w:r>
          </w:p>
        </w:tc>
        <w:tc>
          <w:tcPr>
            <w:tcW w:w="370" w:type="pct"/>
            <w:shd w:val="clear" w:color="auto" w:fill="auto"/>
            <w:hideMark/>
          </w:tcPr>
          <w:p w14:paraId="3752BAC6"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Quảng Bình</w:t>
            </w:r>
          </w:p>
        </w:tc>
        <w:tc>
          <w:tcPr>
            <w:tcW w:w="275" w:type="pct"/>
            <w:shd w:val="clear" w:color="auto" w:fill="auto"/>
            <w:hideMark/>
          </w:tcPr>
          <w:p w14:paraId="7BD4076E" w14:textId="77777777" w:rsidR="006B31CC" w:rsidRPr="006B31CC" w:rsidRDefault="006B31CC" w:rsidP="006B31CC">
            <w:pPr>
              <w:spacing w:before="0"/>
              <w:jc w:val="right"/>
              <w:rPr>
                <w:rFonts w:eastAsia="Times New Roman" w:cs="Times New Roman"/>
                <w:sz w:val="22"/>
              </w:rPr>
            </w:pPr>
            <w:r w:rsidRPr="006B31CC">
              <w:rPr>
                <w:rFonts w:eastAsia="Times New Roman" w:cs="Times New Roman"/>
                <w:sz w:val="22"/>
              </w:rPr>
              <w:t>2024</w:t>
            </w:r>
          </w:p>
        </w:tc>
        <w:tc>
          <w:tcPr>
            <w:tcW w:w="275" w:type="pct"/>
            <w:shd w:val="clear" w:color="auto" w:fill="auto"/>
            <w:hideMark/>
          </w:tcPr>
          <w:p w14:paraId="102E0E6F" w14:textId="77777777" w:rsidR="006B31CC" w:rsidRPr="006B31CC" w:rsidRDefault="006B31CC" w:rsidP="006B31CC">
            <w:pPr>
              <w:spacing w:before="0"/>
              <w:jc w:val="right"/>
              <w:rPr>
                <w:rFonts w:eastAsia="Times New Roman" w:cs="Times New Roman"/>
                <w:sz w:val="22"/>
              </w:rPr>
            </w:pPr>
          </w:p>
        </w:tc>
        <w:tc>
          <w:tcPr>
            <w:tcW w:w="286" w:type="pct"/>
            <w:shd w:val="clear" w:color="auto" w:fill="auto"/>
            <w:hideMark/>
          </w:tcPr>
          <w:p w14:paraId="51EC7B62" w14:textId="77777777" w:rsidR="006B31CC" w:rsidRPr="006B31CC" w:rsidRDefault="006B31CC" w:rsidP="006B31CC">
            <w:pPr>
              <w:spacing w:before="0"/>
              <w:jc w:val="left"/>
              <w:rPr>
                <w:rFonts w:eastAsia="Times New Roman" w:cs="Times New Roman"/>
                <w:sz w:val="20"/>
                <w:szCs w:val="20"/>
              </w:rPr>
            </w:pPr>
          </w:p>
        </w:tc>
        <w:tc>
          <w:tcPr>
            <w:tcW w:w="357" w:type="pct"/>
            <w:shd w:val="clear" w:color="auto" w:fill="auto"/>
            <w:hideMark/>
          </w:tcPr>
          <w:p w14:paraId="78464E3E" w14:textId="77777777" w:rsidR="006B31CC" w:rsidRPr="006B31CC" w:rsidRDefault="006B31CC" w:rsidP="006B31CC">
            <w:pPr>
              <w:spacing w:before="0"/>
              <w:jc w:val="left"/>
              <w:rPr>
                <w:rFonts w:eastAsia="Times New Roman" w:cs="Times New Roman"/>
                <w:sz w:val="20"/>
                <w:szCs w:val="20"/>
              </w:rPr>
            </w:pPr>
          </w:p>
        </w:tc>
        <w:tc>
          <w:tcPr>
            <w:tcW w:w="208" w:type="pct"/>
            <w:shd w:val="clear" w:color="auto" w:fill="auto"/>
            <w:hideMark/>
          </w:tcPr>
          <w:p w14:paraId="3C349317" w14:textId="77777777" w:rsidR="006B31CC" w:rsidRPr="006B31CC" w:rsidRDefault="006B31CC" w:rsidP="006B31CC">
            <w:pPr>
              <w:spacing w:before="0"/>
              <w:jc w:val="left"/>
              <w:rPr>
                <w:rFonts w:eastAsia="Times New Roman" w:cs="Times New Roman"/>
                <w:sz w:val="20"/>
                <w:szCs w:val="20"/>
              </w:rPr>
            </w:pPr>
          </w:p>
        </w:tc>
        <w:tc>
          <w:tcPr>
            <w:tcW w:w="235" w:type="pct"/>
            <w:shd w:val="clear" w:color="auto" w:fill="auto"/>
            <w:hideMark/>
          </w:tcPr>
          <w:p w14:paraId="47FBA8DB" w14:textId="77777777" w:rsidR="006B31CC" w:rsidRPr="006B31CC" w:rsidRDefault="006B31CC" w:rsidP="006B31CC">
            <w:pPr>
              <w:spacing w:before="0"/>
              <w:jc w:val="left"/>
              <w:rPr>
                <w:rFonts w:eastAsia="Times New Roman" w:cs="Times New Roman"/>
                <w:sz w:val="20"/>
                <w:szCs w:val="20"/>
              </w:rPr>
            </w:pPr>
          </w:p>
        </w:tc>
        <w:tc>
          <w:tcPr>
            <w:tcW w:w="286" w:type="pct"/>
            <w:shd w:val="clear" w:color="auto" w:fill="auto"/>
            <w:hideMark/>
          </w:tcPr>
          <w:p w14:paraId="1C89A8AF" w14:textId="77777777" w:rsidR="006B31CC" w:rsidRPr="006B31CC" w:rsidRDefault="006B31CC" w:rsidP="006B31CC">
            <w:pPr>
              <w:spacing w:before="0"/>
              <w:jc w:val="left"/>
              <w:rPr>
                <w:rFonts w:eastAsia="Times New Roman" w:cs="Times New Roman"/>
                <w:sz w:val="20"/>
                <w:szCs w:val="20"/>
              </w:rPr>
            </w:pPr>
          </w:p>
        </w:tc>
        <w:tc>
          <w:tcPr>
            <w:tcW w:w="393" w:type="pct"/>
            <w:shd w:val="clear" w:color="auto" w:fill="auto"/>
            <w:hideMark/>
          </w:tcPr>
          <w:p w14:paraId="68191438" w14:textId="77777777" w:rsidR="006B31CC" w:rsidRPr="006B31CC" w:rsidRDefault="006B31CC" w:rsidP="006B31CC">
            <w:pPr>
              <w:spacing w:before="0"/>
              <w:jc w:val="left"/>
              <w:rPr>
                <w:rFonts w:eastAsia="Times New Roman" w:cs="Times New Roman"/>
                <w:sz w:val="20"/>
                <w:szCs w:val="20"/>
              </w:rPr>
            </w:pPr>
          </w:p>
        </w:tc>
      </w:tr>
      <w:tr w:rsidR="006B31CC" w:rsidRPr="006B31CC" w14:paraId="09E2E4F0" w14:textId="77777777" w:rsidTr="006B31CC">
        <w:trPr>
          <w:trHeight w:val="828"/>
        </w:trPr>
        <w:tc>
          <w:tcPr>
            <w:tcW w:w="203" w:type="pct"/>
            <w:shd w:val="clear" w:color="auto" w:fill="auto"/>
            <w:hideMark/>
          </w:tcPr>
          <w:p w14:paraId="4CCA92D0" w14:textId="77777777" w:rsidR="006B31CC" w:rsidRPr="006B31CC" w:rsidRDefault="006B31CC" w:rsidP="006B31CC">
            <w:pPr>
              <w:pStyle w:val="ListParagraph"/>
              <w:numPr>
                <w:ilvl w:val="0"/>
                <w:numId w:val="1"/>
              </w:numPr>
              <w:spacing w:before="0"/>
              <w:ind w:left="470" w:hanging="357"/>
              <w:jc w:val="left"/>
              <w:rPr>
                <w:rFonts w:eastAsia="Times New Roman" w:cs="Times New Roman"/>
                <w:b/>
                <w:bCs/>
                <w:sz w:val="22"/>
              </w:rPr>
            </w:pPr>
          </w:p>
        </w:tc>
        <w:tc>
          <w:tcPr>
            <w:tcW w:w="890" w:type="pct"/>
            <w:shd w:val="clear" w:color="auto" w:fill="auto"/>
            <w:hideMark/>
          </w:tcPr>
          <w:p w14:paraId="126F171F"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Nghiên cứu bảo tồn di sản kiến trúc truyền thống của các dân tộc thiểu số tại chỗ gắn với phát triển du lịch ở tỉnh Đắk Lắk</w:t>
            </w:r>
          </w:p>
        </w:tc>
        <w:tc>
          <w:tcPr>
            <w:tcW w:w="271" w:type="pct"/>
            <w:shd w:val="clear" w:color="auto" w:fill="auto"/>
            <w:hideMark/>
          </w:tcPr>
          <w:p w14:paraId="4AD6C6C5"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Kiến trúc</w:t>
            </w:r>
          </w:p>
        </w:tc>
        <w:tc>
          <w:tcPr>
            <w:tcW w:w="949" w:type="pct"/>
            <w:shd w:val="clear" w:color="auto" w:fill="auto"/>
            <w:noWrap/>
            <w:hideMark/>
          </w:tcPr>
          <w:p w14:paraId="2C944A7C"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Nguyễn Vũ Minh</w:t>
            </w:r>
          </w:p>
        </w:tc>
        <w:tc>
          <w:tcPr>
            <w:tcW w:w="370" w:type="pct"/>
            <w:shd w:val="clear" w:color="auto" w:fill="auto"/>
            <w:hideMark/>
          </w:tcPr>
          <w:p w14:paraId="4FFA457F"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Đắk Lắk</w:t>
            </w:r>
          </w:p>
        </w:tc>
        <w:tc>
          <w:tcPr>
            <w:tcW w:w="275" w:type="pct"/>
            <w:shd w:val="clear" w:color="auto" w:fill="auto"/>
            <w:hideMark/>
          </w:tcPr>
          <w:p w14:paraId="4F48F9CB" w14:textId="77777777" w:rsidR="006B31CC" w:rsidRPr="006B31CC" w:rsidRDefault="006B31CC" w:rsidP="006B31CC">
            <w:pPr>
              <w:spacing w:before="0"/>
              <w:jc w:val="right"/>
              <w:rPr>
                <w:rFonts w:eastAsia="Times New Roman" w:cs="Times New Roman"/>
                <w:sz w:val="22"/>
              </w:rPr>
            </w:pPr>
            <w:r w:rsidRPr="006B31CC">
              <w:rPr>
                <w:rFonts w:eastAsia="Times New Roman" w:cs="Times New Roman"/>
                <w:sz w:val="22"/>
              </w:rPr>
              <w:t>2024</w:t>
            </w:r>
          </w:p>
        </w:tc>
        <w:tc>
          <w:tcPr>
            <w:tcW w:w="275" w:type="pct"/>
            <w:shd w:val="clear" w:color="auto" w:fill="auto"/>
            <w:hideMark/>
          </w:tcPr>
          <w:p w14:paraId="3DA3C6B9" w14:textId="77777777" w:rsidR="006B31CC" w:rsidRPr="006B31CC" w:rsidRDefault="006B31CC" w:rsidP="006B31CC">
            <w:pPr>
              <w:spacing w:before="0"/>
              <w:jc w:val="right"/>
              <w:rPr>
                <w:rFonts w:eastAsia="Times New Roman" w:cs="Times New Roman"/>
                <w:sz w:val="22"/>
              </w:rPr>
            </w:pPr>
            <w:r w:rsidRPr="006B31CC">
              <w:rPr>
                <w:rFonts w:eastAsia="Times New Roman" w:cs="Times New Roman"/>
                <w:sz w:val="22"/>
              </w:rPr>
              <w:t>2025</w:t>
            </w:r>
          </w:p>
        </w:tc>
        <w:tc>
          <w:tcPr>
            <w:tcW w:w="286" w:type="pct"/>
            <w:shd w:val="clear" w:color="auto" w:fill="auto"/>
            <w:hideMark/>
          </w:tcPr>
          <w:p w14:paraId="4F0B8936" w14:textId="77777777" w:rsidR="006B31CC" w:rsidRPr="006B31CC" w:rsidRDefault="006B31CC" w:rsidP="006B31CC">
            <w:pPr>
              <w:spacing w:before="0"/>
              <w:jc w:val="right"/>
              <w:rPr>
                <w:rFonts w:eastAsia="Times New Roman" w:cs="Times New Roman"/>
                <w:sz w:val="22"/>
              </w:rPr>
            </w:pPr>
            <w:r w:rsidRPr="006B31CC">
              <w:rPr>
                <w:rFonts w:eastAsia="Times New Roman" w:cs="Times New Roman"/>
                <w:sz w:val="22"/>
              </w:rPr>
              <w:t>950</w:t>
            </w:r>
          </w:p>
        </w:tc>
        <w:tc>
          <w:tcPr>
            <w:tcW w:w="357" w:type="pct"/>
            <w:shd w:val="clear" w:color="auto" w:fill="auto"/>
            <w:hideMark/>
          </w:tcPr>
          <w:p w14:paraId="089BCCF0" w14:textId="77777777" w:rsidR="006B31CC" w:rsidRPr="006B31CC" w:rsidRDefault="006B31CC" w:rsidP="006B31CC">
            <w:pPr>
              <w:spacing w:before="0"/>
              <w:jc w:val="right"/>
              <w:rPr>
                <w:rFonts w:eastAsia="Times New Roman" w:cs="Times New Roman"/>
                <w:sz w:val="22"/>
              </w:rPr>
            </w:pPr>
          </w:p>
        </w:tc>
        <w:tc>
          <w:tcPr>
            <w:tcW w:w="208" w:type="pct"/>
            <w:shd w:val="clear" w:color="auto" w:fill="auto"/>
            <w:hideMark/>
          </w:tcPr>
          <w:p w14:paraId="5C11D160" w14:textId="77777777" w:rsidR="006B31CC" w:rsidRPr="006B31CC" w:rsidRDefault="006B31CC" w:rsidP="006B31CC">
            <w:pPr>
              <w:spacing w:before="0"/>
              <w:jc w:val="left"/>
              <w:rPr>
                <w:rFonts w:eastAsia="Times New Roman" w:cs="Times New Roman"/>
                <w:sz w:val="20"/>
                <w:szCs w:val="20"/>
              </w:rPr>
            </w:pPr>
          </w:p>
        </w:tc>
        <w:tc>
          <w:tcPr>
            <w:tcW w:w="235" w:type="pct"/>
            <w:shd w:val="clear" w:color="auto" w:fill="auto"/>
            <w:hideMark/>
          </w:tcPr>
          <w:p w14:paraId="329A46F0" w14:textId="77777777" w:rsidR="006B31CC" w:rsidRPr="006B31CC" w:rsidRDefault="006B31CC" w:rsidP="006B31CC">
            <w:pPr>
              <w:spacing w:before="0"/>
              <w:jc w:val="left"/>
              <w:rPr>
                <w:rFonts w:eastAsia="Times New Roman" w:cs="Times New Roman"/>
                <w:sz w:val="20"/>
                <w:szCs w:val="20"/>
              </w:rPr>
            </w:pPr>
          </w:p>
        </w:tc>
        <w:tc>
          <w:tcPr>
            <w:tcW w:w="286" w:type="pct"/>
            <w:shd w:val="clear" w:color="auto" w:fill="auto"/>
            <w:hideMark/>
          </w:tcPr>
          <w:p w14:paraId="63A030B7" w14:textId="77777777" w:rsidR="006B31CC" w:rsidRPr="006B31CC" w:rsidRDefault="006B31CC" w:rsidP="006B31CC">
            <w:pPr>
              <w:spacing w:before="0"/>
              <w:jc w:val="left"/>
              <w:rPr>
                <w:rFonts w:eastAsia="Times New Roman" w:cs="Times New Roman"/>
                <w:sz w:val="20"/>
                <w:szCs w:val="20"/>
              </w:rPr>
            </w:pPr>
          </w:p>
        </w:tc>
        <w:tc>
          <w:tcPr>
            <w:tcW w:w="393" w:type="pct"/>
            <w:shd w:val="clear" w:color="auto" w:fill="auto"/>
            <w:hideMark/>
          </w:tcPr>
          <w:p w14:paraId="1379B9EB" w14:textId="77777777" w:rsidR="006B31CC" w:rsidRPr="006B31CC" w:rsidRDefault="006B31CC" w:rsidP="006B31CC">
            <w:pPr>
              <w:spacing w:before="0"/>
              <w:jc w:val="left"/>
              <w:rPr>
                <w:rFonts w:eastAsia="Times New Roman" w:cs="Times New Roman"/>
                <w:sz w:val="22"/>
              </w:rPr>
            </w:pPr>
            <w:r w:rsidRPr="006B31CC">
              <w:rPr>
                <w:rFonts w:eastAsia="Times New Roman" w:cs="Times New Roman"/>
                <w:sz w:val="22"/>
              </w:rPr>
              <w:t>1/2024-12/2025</w:t>
            </w:r>
          </w:p>
        </w:tc>
      </w:tr>
    </w:tbl>
    <w:p w14:paraId="232752D9" w14:textId="77777777" w:rsidR="00A20F1C" w:rsidRDefault="00A20F1C"/>
    <w:sectPr w:rsidR="00A20F1C" w:rsidSect="006B31CC">
      <w:pgSz w:w="16840" w:h="11907" w:orient="landscape" w:code="9"/>
      <w:pgMar w:top="1418" w:right="141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D2F88"/>
    <w:multiLevelType w:val="hybridMultilevel"/>
    <w:tmpl w:val="51D26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CC"/>
    <w:rsid w:val="006B31CC"/>
    <w:rsid w:val="009B0710"/>
    <w:rsid w:val="00A20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0102"/>
  <w15:chartTrackingRefBased/>
  <w15:docId w15:val="{564A7DA1-9A04-4679-BBE4-A19797D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Lý Hữu Huấn</dc:creator>
  <cp:keywords/>
  <dc:description/>
  <cp:lastModifiedBy>Nguyễn Lý Hữu Huấn</cp:lastModifiedBy>
  <cp:revision>1</cp:revision>
  <dcterms:created xsi:type="dcterms:W3CDTF">2024-12-02T03:36:00Z</dcterms:created>
  <dcterms:modified xsi:type="dcterms:W3CDTF">2024-12-02T03:37:00Z</dcterms:modified>
</cp:coreProperties>
</file>