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5F491161" w:rsidR="00240069" w:rsidRPr="00240069" w:rsidRDefault="00240069" w:rsidP="00240069">
      <w:pPr>
        <w:spacing w:after="120"/>
        <w:jc w:val="center"/>
        <w:rPr>
          <w:b/>
        </w:rPr>
      </w:pPr>
      <w:r w:rsidRPr="00476BB1">
        <w:rPr>
          <w:b/>
        </w:rPr>
        <w:t xml:space="preserve">DANH MỤC ĐỀ TÀI CẤP </w:t>
      </w:r>
      <w:r>
        <w:rPr>
          <w:b/>
        </w:rPr>
        <w:t>TỈNH</w:t>
      </w:r>
      <w:r w:rsidR="00A27DB1">
        <w:rPr>
          <w:b/>
        </w:rPr>
        <w:t xml:space="preserve"> ĐĂNG KÝ MỚI TRONG NĂM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DE520C">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0FD7E66E" w14:textId="77777777" w:rsidTr="00DE520C">
        <w:tc>
          <w:tcPr>
            <w:tcW w:w="197" w:type="pct"/>
          </w:tcPr>
          <w:p w14:paraId="6A3E0A3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42388172" w14:textId="3A36FABD" w:rsidR="00802660" w:rsidRPr="00802660" w:rsidRDefault="00802660" w:rsidP="00802660">
            <w:pPr>
              <w:spacing w:before="60"/>
              <w:rPr>
                <w:rFonts w:eastAsia="Times New Roman" w:cs="Times New Roman"/>
                <w:sz w:val="22"/>
              </w:rPr>
            </w:pPr>
            <w:r w:rsidRPr="00802660">
              <w:rPr>
                <w:rFonts w:eastAsia="Times New Roman" w:cs="Times New Roman"/>
                <w:sz w:val="22"/>
              </w:rPr>
              <w:t>Đánh giá hiện trạng và xây dựng cơ sở dữ liệu về tài nguyên sinh vật tại tỉnh Thừa Thiên Huế</w:t>
            </w:r>
          </w:p>
        </w:tc>
        <w:tc>
          <w:tcPr>
            <w:tcW w:w="859" w:type="pct"/>
            <w:shd w:val="clear" w:color="auto" w:fill="auto"/>
            <w:hideMark/>
          </w:tcPr>
          <w:p w14:paraId="0CCAC51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Văn Phú</w:t>
            </w:r>
          </w:p>
        </w:tc>
        <w:tc>
          <w:tcPr>
            <w:tcW w:w="332" w:type="pct"/>
            <w:shd w:val="clear" w:color="auto" w:fill="auto"/>
            <w:hideMark/>
          </w:tcPr>
          <w:p w14:paraId="59F6B7B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shd w:val="clear" w:color="auto" w:fill="auto"/>
            <w:hideMark/>
          </w:tcPr>
          <w:p w14:paraId="68F2336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shd w:val="clear" w:color="auto" w:fill="auto"/>
            <w:hideMark/>
          </w:tcPr>
          <w:p w14:paraId="2EAAED6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shd w:val="clear" w:color="auto" w:fill="auto"/>
            <w:hideMark/>
          </w:tcPr>
          <w:p w14:paraId="6E62735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1.176</w:t>
            </w:r>
          </w:p>
        </w:tc>
        <w:tc>
          <w:tcPr>
            <w:tcW w:w="427" w:type="pct"/>
            <w:shd w:val="clear" w:color="auto" w:fill="auto"/>
            <w:hideMark/>
          </w:tcPr>
          <w:p w14:paraId="51EFB22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31/7/2018</w:t>
            </w:r>
          </w:p>
        </w:tc>
        <w:tc>
          <w:tcPr>
            <w:tcW w:w="427" w:type="pct"/>
            <w:shd w:val="clear" w:color="auto" w:fill="auto"/>
            <w:hideMark/>
          </w:tcPr>
          <w:p w14:paraId="7392BBE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5B275AEC" w14:textId="05665EA4"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3/2018</w:t>
            </w:r>
          </w:p>
        </w:tc>
      </w:tr>
      <w:tr w:rsidR="00802660" w:rsidRPr="00802660" w14:paraId="77562DF9" w14:textId="77777777" w:rsidTr="00DE520C">
        <w:tc>
          <w:tcPr>
            <w:tcW w:w="197" w:type="pct"/>
          </w:tcPr>
          <w:p w14:paraId="19CE66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68AFC381" w14:textId="6919B1FF"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thành lập bản đồ phân vùng cấu trúc nền và bản đồ dự báo nguy cơ tiềm ẩn về ngập nước, xói lở, xâm nhập mặn đồng bằng ven biển và vùng đồi kế cận phục vụ quy hoạch xây dựng đô thị, khu công nghiệp, các dạng công trình (dân dụng, giao thông, công trình ngầm, ...) và phân bố khu dân cư nhằm nâng cao khả năng ứng phó với biến đổi khí hậu toàn cầu trong phát triển bền vững kinh tế - xã hội tỉnh Quảng Trị</w:t>
            </w:r>
          </w:p>
        </w:tc>
        <w:tc>
          <w:tcPr>
            <w:tcW w:w="859" w:type="pct"/>
            <w:shd w:val="clear" w:color="auto" w:fill="auto"/>
            <w:noWrap/>
            <w:hideMark/>
          </w:tcPr>
          <w:p w14:paraId="39EC18E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shd w:val="clear" w:color="auto" w:fill="auto"/>
            <w:hideMark/>
          </w:tcPr>
          <w:p w14:paraId="31837AF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shd w:val="clear" w:color="auto" w:fill="auto"/>
            <w:hideMark/>
          </w:tcPr>
          <w:p w14:paraId="1C10CF3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shd w:val="clear" w:color="auto" w:fill="auto"/>
            <w:hideMark/>
          </w:tcPr>
          <w:p w14:paraId="4BEA2C0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shd w:val="clear" w:color="auto" w:fill="auto"/>
            <w:noWrap/>
            <w:hideMark/>
          </w:tcPr>
          <w:p w14:paraId="71A7C11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620</w:t>
            </w:r>
          </w:p>
        </w:tc>
        <w:tc>
          <w:tcPr>
            <w:tcW w:w="427" w:type="pct"/>
            <w:shd w:val="clear" w:color="auto" w:fill="auto"/>
            <w:hideMark/>
          </w:tcPr>
          <w:p w14:paraId="4BA854B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7" w:type="pct"/>
            <w:shd w:val="clear" w:color="auto" w:fill="auto"/>
            <w:hideMark/>
          </w:tcPr>
          <w:p w14:paraId="13C5FE8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2" w:type="pct"/>
            <w:shd w:val="clear" w:color="auto" w:fill="auto"/>
            <w:hideMark/>
          </w:tcPr>
          <w:p w14:paraId="15E117A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Chỉ triển khai và nghiệm thu 1/2 do Tỉnh không có kinh phí</w:t>
            </w:r>
          </w:p>
        </w:tc>
      </w:tr>
      <w:tr w:rsidR="00DE520C" w:rsidRPr="00DE520C" w14:paraId="1F4F0673" w14:textId="77777777" w:rsidTr="00DE520C">
        <w:tc>
          <w:tcPr>
            <w:tcW w:w="197" w:type="pct"/>
          </w:tcPr>
          <w:p w14:paraId="0980BF8C" w14:textId="77777777" w:rsidR="00DE520C" w:rsidRPr="00DE520C" w:rsidRDefault="00DE520C" w:rsidP="00DE520C">
            <w:pPr>
              <w:pStyle w:val="ListParagraph"/>
              <w:spacing w:before="60"/>
              <w:ind w:left="470"/>
              <w:contextualSpacing w:val="0"/>
              <w:rPr>
                <w:rFonts w:eastAsia="Times New Roman" w:cs="Times New Roman"/>
                <w:b/>
                <w:bCs/>
                <w:sz w:val="22"/>
              </w:rPr>
            </w:pPr>
          </w:p>
        </w:tc>
        <w:tc>
          <w:tcPr>
            <w:tcW w:w="1348" w:type="pct"/>
            <w:shd w:val="clear" w:color="auto" w:fill="auto"/>
          </w:tcPr>
          <w:p w14:paraId="2B4108F2" w14:textId="35340CF7" w:rsidR="00DE520C" w:rsidRPr="00DE520C" w:rsidRDefault="00DE520C" w:rsidP="00802660">
            <w:pPr>
              <w:spacing w:before="60"/>
              <w:rPr>
                <w:rFonts w:eastAsia="Times New Roman" w:cs="Times New Roman"/>
                <w:b/>
                <w:bCs/>
                <w:sz w:val="22"/>
              </w:rPr>
            </w:pPr>
            <w:r w:rsidRPr="00DE520C">
              <w:rPr>
                <w:rFonts w:eastAsia="Times New Roman" w:cs="Times New Roman"/>
                <w:b/>
                <w:bCs/>
                <w:sz w:val="22"/>
              </w:rPr>
              <w:t>TỔNG</w:t>
            </w:r>
          </w:p>
        </w:tc>
        <w:tc>
          <w:tcPr>
            <w:tcW w:w="859" w:type="pct"/>
            <w:shd w:val="clear" w:color="auto" w:fill="auto"/>
            <w:noWrap/>
          </w:tcPr>
          <w:p w14:paraId="7900F065" w14:textId="77777777" w:rsidR="00DE520C" w:rsidRPr="00DE520C" w:rsidRDefault="00DE520C" w:rsidP="00802660">
            <w:pPr>
              <w:spacing w:before="60"/>
              <w:rPr>
                <w:rFonts w:eastAsia="Times New Roman" w:cs="Times New Roman"/>
                <w:b/>
                <w:bCs/>
                <w:sz w:val="22"/>
              </w:rPr>
            </w:pPr>
          </w:p>
        </w:tc>
        <w:tc>
          <w:tcPr>
            <w:tcW w:w="332" w:type="pct"/>
            <w:shd w:val="clear" w:color="auto" w:fill="auto"/>
          </w:tcPr>
          <w:p w14:paraId="341353A5" w14:textId="77777777" w:rsidR="00DE520C" w:rsidRPr="00DE520C" w:rsidRDefault="00DE520C" w:rsidP="00802660">
            <w:pPr>
              <w:spacing w:before="60"/>
              <w:rPr>
                <w:rFonts w:eastAsia="Times New Roman" w:cs="Times New Roman"/>
                <w:b/>
                <w:bCs/>
                <w:sz w:val="22"/>
              </w:rPr>
            </w:pPr>
          </w:p>
        </w:tc>
        <w:tc>
          <w:tcPr>
            <w:tcW w:w="234" w:type="pct"/>
            <w:shd w:val="clear" w:color="auto" w:fill="auto"/>
          </w:tcPr>
          <w:p w14:paraId="647CABA5" w14:textId="77777777" w:rsidR="00DE520C" w:rsidRPr="00DE520C" w:rsidRDefault="00DE520C" w:rsidP="00802660">
            <w:pPr>
              <w:spacing w:before="60"/>
              <w:jc w:val="right"/>
              <w:rPr>
                <w:rFonts w:eastAsia="Times New Roman" w:cs="Times New Roman"/>
                <w:b/>
                <w:bCs/>
                <w:sz w:val="22"/>
              </w:rPr>
            </w:pPr>
          </w:p>
        </w:tc>
        <w:tc>
          <w:tcPr>
            <w:tcW w:w="234" w:type="pct"/>
            <w:shd w:val="clear" w:color="auto" w:fill="auto"/>
          </w:tcPr>
          <w:p w14:paraId="1DD1B674" w14:textId="77777777" w:rsidR="00DE520C" w:rsidRPr="00DE520C" w:rsidRDefault="00DE520C" w:rsidP="00802660">
            <w:pPr>
              <w:spacing w:before="60"/>
              <w:jc w:val="right"/>
              <w:rPr>
                <w:rFonts w:eastAsia="Times New Roman" w:cs="Times New Roman"/>
                <w:b/>
                <w:bCs/>
                <w:sz w:val="22"/>
              </w:rPr>
            </w:pPr>
          </w:p>
        </w:tc>
        <w:tc>
          <w:tcPr>
            <w:tcW w:w="519" w:type="pct"/>
            <w:shd w:val="clear" w:color="auto" w:fill="auto"/>
            <w:noWrap/>
          </w:tcPr>
          <w:p w14:paraId="11514DFF" w14:textId="71733D54" w:rsidR="00DE520C" w:rsidRPr="00DE520C" w:rsidRDefault="00DE520C" w:rsidP="00802660">
            <w:pPr>
              <w:spacing w:before="60"/>
              <w:jc w:val="right"/>
              <w:rPr>
                <w:rFonts w:eastAsia="Times New Roman" w:cs="Times New Roman"/>
                <w:b/>
                <w:bCs/>
                <w:sz w:val="22"/>
              </w:rPr>
            </w:pPr>
            <w:r w:rsidRPr="00DE520C">
              <w:rPr>
                <w:rFonts w:eastAsia="Times New Roman" w:cs="Times New Roman"/>
                <w:b/>
                <w:bCs/>
                <w:sz w:val="22"/>
              </w:rPr>
              <w:t>1796</w:t>
            </w:r>
          </w:p>
        </w:tc>
        <w:tc>
          <w:tcPr>
            <w:tcW w:w="427" w:type="pct"/>
            <w:shd w:val="clear" w:color="auto" w:fill="auto"/>
          </w:tcPr>
          <w:p w14:paraId="7729D88B" w14:textId="77777777" w:rsidR="00DE520C" w:rsidRPr="00DE520C" w:rsidRDefault="00DE520C" w:rsidP="005B0C44">
            <w:pPr>
              <w:spacing w:before="60"/>
              <w:jc w:val="right"/>
              <w:rPr>
                <w:rFonts w:eastAsia="Times New Roman" w:cs="Times New Roman"/>
                <w:b/>
                <w:bCs/>
                <w:sz w:val="22"/>
              </w:rPr>
            </w:pPr>
          </w:p>
        </w:tc>
        <w:tc>
          <w:tcPr>
            <w:tcW w:w="427" w:type="pct"/>
            <w:shd w:val="clear" w:color="auto" w:fill="auto"/>
          </w:tcPr>
          <w:p w14:paraId="1B655372" w14:textId="77777777" w:rsidR="00DE520C" w:rsidRPr="00DE520C" w:rsidRDefault="00DE520C" w:rsidP="005B0C44">
            <w:pPr>
              <w:spacing w:before="60"/>
              <w:jc w:val="right"/>
              <w:rPr>
                <w:rFonts w:eastAsia="Times New Roman" w:cs="Times New Roman"/>
                <w:b/>
                <w:bCs/>
                <w:sz w:val="22"/>
              </w:rPr>
            </w:pPr>
          </w:p>
        </w:tc>
        <w:tc>
          <w:tcPr>
            <w:tcW w:w="422" w:type="pct"/>
            <w:shd w:val="clear" w:color="auto" w:fill="auto"/>
          </w:tcPr>
          <w:p w14:paraId="193EF523" w14:textId="77777777" w:rsidR="00DE520C" w:rsidRPr="00DE520C" w:rsidRDefault="00DE520C" w:rsidP="00802660">
            <w:pPr>
              <w:spacing w:before="60"/>
              <w:rPr>
                <w:rFonts w:eastAsia="Times New Roman" w:cs="Times New Roman"/>
                <w:b/>
                <w:bCs/>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464618"/>
    <w:rsid w:val="004F641F"/>
    <w:rsid w:val="005B0C44"/>
    <w:rsid w:val="006B21AA"/>
    <w:rsid w:val="007176F2"/>
    <w:rsid w:val="00796D45"/>
    <w:rsid w:val="00802660"/>
    <w:rsid w:val="008370FC"/>
    <w:rsid w:val="00A27DB1"/>
    <w:rsid w:val="00A806A4"/>
    <w:rsid w:val="00AB37CC"/>
    <w:rsid w:val="00B04DB7"/>
    <w:rsid w:val="00BE01D7"/>
    <w:rsid w:val="00C94ADA"/>
    <w:rsid w:val="00CA0159"/>
    <w:rsid w:val="00DE520C"/>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2021-11-05T09:48:00Z</dcterms:created>
  <dcterms:modified xsi:type="dcterms:W3CDTF">2021-11-08T03:57:00Z</dcterms:modified>
</cp:coreProperties>
</file>